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ИНФОРМАЦИЯ</w:t>
      </w:r>
      <w:r/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О РАССЧИТЫВАЕМЫЙ ЗА КАЛЕНДАРНЫЙ 2025 ГОД</w:t>
      </w:r>
      <w:r/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СРЕДНЕМЕСЯЧНОЙ ЗАРАБОТНОЙ ПЛАТЕ РУКОВОДИТЕЛЕЙ,</w:t>
      </w:r>
      <w:r/>
    </w:p>
    <w:p>
      <w:pPr>
        <w:pStyle w:val="663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ИХ ЗАМЕСТИТЕЛЕЙ И ГЛАВНЫХ БУХГАЛТЕРОВ</w:t>
      </w:r>
      <w:r/>
    </w:p>
    <w:p w14:paraId="2C1AB4AF">
      <w:pPr>
        <w:pStyle w:val="663"/>
        <w:pBdr/>
        <w:spacing/>
        <w:ind/>
        <w:jc w:val="center"/>
        <w:rPr/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 w14:paraId="77EF9FD3">
      <w:pPr>
        <w:pStyle w:val="663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КГБУ «Центр развития территорий»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___________________________________________________________</w:t>
      </w:r>
      <w:r/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(наименование учреждения, унитарного предприятия,</w:t>
      </w:r>
      <w:r/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Территориального фонда)</w:t>
      </w:r>
      <w:r/>
    </w:p>
    <w:p>
      <w:pPr>
        <w:pStyle w:val="663"/>
        <w:pBdr/>
        <w:spacing/>
        <w:ind/>
        <w:jc w:val="both"/>
        <w:outlineLvl w:val="0"/>
        <w:rPr/>
      </w:pPr>
      <w:r>
        <w:rPr>
          <w:sz w:val="24"/>
        </w:rPr>
      </w:r>
      <w:r/>
    </w:p>
    <w:tbl>
      <w:tblPr>
        <w:tblInd w:w="346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268"/>
        <w:gridCol w:w="2976"/>
      </w:tblGrid>
      <w:tr>
        <w:trPr/>
        <w:tc>
          <w:tcPr>
            <w:tcBorders/>
            <w:tcW w:w="567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/>
            <w:tcW w:w="3827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Фамилия, Имя, Отчество</w:t>
            </w:r>
            <w:r/>
          </w:p>
        </w:tc>
        <w:tc>
          <w:tcPr>
            <w:tcBorders/>
            <w:tcW w:w="2268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/>
            <w:tcW w:w="2976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Рассчитанная за календарный год среднемесячная заработная плата, рублей</w:t>
            </w:r>
            <w:r/>
          </w:p>
        </w:tc>
      </w:tr>
      <w:tr>
        <w:trPr/>
        <w:tc>
          <w:tcPr>
            <w:tcBorders/>
            <w:tcW w:w="567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3827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/>
            <w:tcW w:w="2268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/>
            <w:tcW w:w="2976" w:type="dxa"/>
          </w:tcPr>
          <w:p>
            <w:pPr>
              <w:pStyle w:val="663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rPr/>
        <w:tc>
          <w:tcPr>
            <w:tcBorders/>
            <w:tcW w:w="567" w:type="dxa"/>
          </w:tcPr>
          <w:p>
            <w:pPr>
              <w:pStyle w:val="663"/>
              <w:pBdr/>
              <w:spacing/>
              <w:ind/>
              <w:jc w:val="right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3827" w:type="dxa"/>
          </w:tcPr>
          <w:p>
            <w:pPr>
              <w:pStyle w:val="663"/>
              <w:pBdr/>
              <w:spacing/>
              <w:ind/>
              <w:jc w:val="right"/>
              <w:rPr/>
            </w:pPr>
            <w:r>
              <w:rPr>
                <w:sz w:val="24"/>
              </w:rPr>
              <w:t xml:space="preserve">Ягодинец Максим Александрович</w:t>
            </w:r>
            <w:r/>
          </w:p>
        </w:tc>
        <w:tc>
          <w:tcPr>
            <w:tcBorders/>
            <w:tcW w:w="2268" w:type="dxa"/>
          </w:tcPr>
          <w:p>
            <w:pPr>
              <w:pStyle w:val="663"/>
              <w:pBdr/>
              <w:spacing/>
              <w:ind/>
              <w:jc w:val="right"/>
              <w:rPr/>
            </w:pPr>
            <w:r>
              <w:rPr>
                <w:sz w:val="24"/>
              </w:rPr>
              <w:t xml:space="preserve">Директор</w:t>
            </w:r>
            <w:r/>
          </w:p>
        </w:tc>
        <w:tc>
          <w:tcPr>
            <w:tcBorders/>
            <w:tcW w:w="2976" w:type="dxa"/>
          </w:tcPr>
          <w:p>
            <w:pPr>
              <w:pStyle w:val="663"/>
              <w:pBdr/>
              <w:spacing/>
              <w:ind/>
              <w:jc w:val="right"/>
              <w:rPr/>
            </w:pPr>
            <w:r>
              <w:rPr>
                <w:sz w:val="24"/>
              </w:rPr>
              <w:t xml:space="preserve">483 791,83</w:t>
            </w:r>
            <w:r/>
          </w:p>
        </w:tc>
      </w:tr>
      <w:tr>
        <w:trPr/>
        <w:tc>
          <w:tcPr>
            <w:tcBorders/>
            <w:tcW w:w="567" w:type="dxa"/>
            <w:vMerge w:val="restart"/>
          </w:tcPr>
          <w:p w14:paraId="6C08C2DE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3827" w:type="dxa"/>
            <w:vMerge w:val="restart"/>
          </w:tcPr>
          <w:p w14:paraId="7E26417A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Кубарева Анастатсия Анатольевна</w:t>
            </w:r>
            <w:r>
              <w:rPr>
                <w:sz w:val="24"/>
              </w:rPr>
            </w:r>
          </w:p>
        </w:tc>
        <w:tc>
          <w:tcPr>
            <w:tcBorders/>
            <w:tcW w:w="2268" w:type="dxa"/>
            <w:vMerge w:val="restart"/>
          </w:tcPr>
          <w:p w14:paraId="376CB44A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</w:t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vMerge w:val="restart"/>
          </w:tcPr>
          <w:p w14:paraId="56E6163F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434 911,21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</w:tcPr>
          <w:p w14:paraId="51CAC060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/>
            <w:tcW w:w="3827" w:type="dxa"/>
            <w:vMerge w:val="restart"/>
          </w:tcPr>
          <w:p w14:paraId="62A127CB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Карпенко Галина Владимировна</w:t>
            </w:r>
            <w:r>
              <w:rPr>
                <w:sz w:val="24"/>
              </w:rPr>
            </w:r>
          </w:p>
        </w:tc>
        <w:tc>
          <w:tcPr>
            <w:tcBorders/>
            <w:tcW w:w="2268" w:type="dxa"/>
            <w:vMerge w:val="restart"/>
          </w:tcPr>
          <w:p w14:paraId="6896FBB7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</w:t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vMerge w:val="restart"/>
          </w:tcPr>
          <w:p w14:paraId="6937EEC6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372 169,22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</w:tcPr>
          <w:p w14:paraId="52F8B4A6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Borders/>
            <w:tcW w:w="3827" w:type="dxa"/>
            <w:vMerge w:val="restart"/>
          </w:tcPr>
          <w:p w14:paraId="1EF9234A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Раздобреева Татьяна Борисовна</w:t>
            </w:r>
            <w:r>
              <w:rPr>
                <w:sz w:val="24"/>
              </w:rPr>
            </w:r>
          </w:p>
        </w:tc>
        <w:tc>
          <w:tcPr>
            <w:tcBorders/>
            <w:tcW w:w="2268" w:type="dxa"/>
            <w:vMerge w:val="restart"/>
          </w:tcPr>
          <w:p w14:paraId="0C692280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Главный бухгалтер</w:t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vMerge w:val="restart"/>
          </w:tcPr>
          <w:p w14:paraId="1767330B">
            <w:pPr>
              <w:pStyle w:val="663"/>
              <w:pBdr/>
              <w:spacing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356 620,80</w:t>
            </w:r>
            <w:r>
              <w:rPr>
                <w:sz w:val="24"/>
              </w:rPr>
            </w:r>
          </w:p>
        </w:tc>
      </w:tr>
    </w:tbl>
    <w:p w14:paraId="2F16E3E9">
      <w:pPr>
        <w:pStyle w:val="663"/>
        <w:pBdr/>
        <w:spacing/>
        <w:ind/>
        <w:jc w:val="both"/>
        <w:rPr/>
      </w:pPr>
      <w:r/>
      <w:r/>
      <w:r/>
    </w:p>
    <w:p>
      <w:pPr>
        <w:pStyle w:val="663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663"/>
        <w:pBdr/>
        <w:spacing/>
        <w:ind/>
        <w:rPr/>
      </w:pPr>
      <w:r/>
      <w:hyperlink r:id="rId8" w:tooltip="Постановление Администрации Приморского края от 27.12.2016 N 610-па (ред. от 10.01.2020) &quot;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Приморского края, государственных унитарных предприятий Приморского края, государственного учреждения &quot;Территориальный фонд обязательного медицинского страхования Приморского края&quot; в информационно-телекоммуникационной сети Интернет&quot; {КонсультантПлюс}" w:history="1">
        <w:r>
          <w:rPr>
            <w:i/>
            <w:color w:val="0000ff"/>
            <w:sz w:val="24"/>
          </w:rPr>
          <w:br/>
        </w:r>
        <w:r>
          <w:rPr>
            <w:i/>
            <w:color w:val="0000ff"/>
            <w:sz w:val="24"/>
          </w:rPr>
        </w:r>
      </w:hyperlink>
      <w:r>
        <w:rPr>
          <w:sz w:val="24"/>
        </w:rPr>
        <w:br/>
      </w:r>
      <w:r/>
    </w:p>
    <w:sectPr>
      <w:footnotePr/>
      <w:endnotePr/>
      <w:type w:val="nextPage"/>
      <w:pgSz w:h="16838" w:orient="portrait" w:w="11906"/>
      <w:pgMar w:top="1440" w:right="566" w:bottom="1440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80808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663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664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665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  <w:lang w:val="ru-RU" w:eastAsia="ru-RU" w:bidi="ar-SA"/>
    </w:rPr>
  </w:style>
  <w:style w:type="paragraph" w:styleId="666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667" w:customStyle="1">
    <w:name w:val="ConsPlusDocList"/>
    <w:pPr>
      <w:widowControl w:val="false"/>
      <w:pBdr/>
      <w:spacing/>
      <w:ind/>
    </w:pPr>
    <w:rPr>
      <w:rFonts w:ascii="Tahoma" w:hAnsi="Tahoma" w:cs="Tahoma"/>
      <w:sz w:val="18"/>
      <w:lang w:val="ru-RU" w:eastAsia="ru-RU" w:bidi="ar-SA"/>
    </w:rPr>
  </w:style>
  <w:style w:type="paragraph" w:styleId="668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  <w:lang w:val="ru-RU" w:eastAsia="ru-RU" w:bidi="ar-SA"/>
    </w:rPr>
  </w:style>
  <w:style w:type="paragraph" w:styleId="669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val="ru-RU" w:eastAsia="ru-RU" w:bidi="ar-SA"/>
    </w:rPr>
  </w:style>
  <w:style w:type="paragraph" w:styleId="670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val="ru-RU" w:eastAsia="ru-RU" w:bidi="ar-SA"/>
    </w:rPr>
  </w:style>
  <w:style w:type="paragraph" w:styleId="671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672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20&amp;n=140498&amp;date=27.05.2026&amp;dst=10001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Приморского края от 27.12.2016 N 610-па
(ред. от 10.01.2020)
"О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Приморского края, государственных унитарных предприятий Приморского края, государственного учреждения "Территориальный фонд обязательного медицинского страхования Приморского края" в информационно-телекоммуникационной сети Интернет"</dc:title>
  <cp:revision>1</cp:revision>
  <dcterms:created xsi:type="dcterms:W3CDTF">2026-05-27T03:46:58Z</dcterms:created>
  <dcterms:modified xsi:type="dcterms:W3CDTF">2026-05-27T04:43:54Z</dcterms:modified>
</cp:coreProperties>
</file>